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F20B2E">
        <w:rPr>
          <w:rFonts w:cs="Calibri"/>
          <w:bCs/>
        </w:rPr>
        <w:t>____5</w:t>
      </w:r>
      <w:r w:rsidR="00E33557">
        <w:rPr>
          <w:rFonts w:cs="Calibri"/>
          <w:bCs/>
        </w:rPr>
        <w:t>/</w:t>
      </w:r>
      <w:r w:rsidR="00F20B2E">
        <w:rPr>
          <w:rFonts w:cs="Calibri"/>
          <w:bCs/>
        </w:rPr>
        <w:t>10</w:t>
      </w:r>
      <w:r w:rsidR="00D3426F">
        <w:rPr>
          <w:rFonts w:cs="Calibri"/>
          <w:bCs/>
        </w:rPr>
        <w:t>/18</w:t>
      </w:r>
      <w:r w:rsidRPr="003601AA">
        <w:rPr>
          <w:rFonts w:cs="Calibri"/>
          <w:bCs/>
        </w:rPr>
        <w:t>_____</w:t>
      </w:r>
      <w:r w:rsidR="00F45BAF" w:rsidRPr="003601AA">
        <w:rPr>
          <w:rFonts w:cs="Calibri"/>
          <w:bCs/>
        </w:rPr>
        <w:t>____________</w:t>
      </w:r>
      <w:r w:rsidRPr="003601AA">
        <w:rPr>
          <w:rFonts w:cs="Calibri"/>
          <w:bCs/>
        </w:rPr>
        <w:t>_</w:t>
      </w:r>
      <w:r w:rsidR="00F45BAF" w:rsidRPr="003601AA">
        <w:rPr>
          <w:rFonts w:cs="Calibri"/>
          <w:bCs/>
        </w:rPr>
        <w:t xml:space="preserve"> ______</w:t>
      </w:r>
      <w:r w:rsidR="00E33557">
        <w:rPr>
          <w:rFonts w:cs="Calibri"/>
          <w:bCs/>
        </w:rPr>
        <w:t>5:00 PM</w:t>
      </w:r>
      <w:r w:rsidR="00F45BAF" w:rsidRPr="003601AA">
        <w:rPr>
          <w:rFonts w:cs="Calibri"/>
          <w:bCs/>
        </w:rPr>
        <w:t>__</w:t>
      </w:r>
      <w:r w:rsidRPr="003601AA">
        <w:rPr>
          <w:rFonts w:cs="Calibri"/>
          <w:bCs/>
        </w:rPr>
        <w:t>________</w:t>
      </w:r>
      <w:r w:rsidR="00E33557">
        <w:rPr>
          <w:rFonts w:cs="Calibri"/>
          <w:bCs/>
        </w:rPr>
        <w:t>___</w:t>
      </w:r>
      <w:r w:rsidR="004844AA">
        <w:rPr>
          <w:rFonts w:cs="Calibri"/>
          <w:bCs/>
        </w:rPr>
        <w:t>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E33557">
        <w:rPr>
          <w:rFonts w:cs="Calibri"/>
          <w:bCs/>
        </w:rPr>
        <w:t>Damian Lallathin</w:t>
      </w:r>
      <w:r w:rsidRPr="003601AA">
        <w:rPr>
          <w:rFonts w:cs="Calibri"/>
          <w:bCs/>
        </w:rPr>
        <w:t>_____</w:t>
      </w:r>
      <w:r w:rsidR="00E33557">
        <w:rPr>
          <w:rFonts w:cs="Calibri"/>
          <w:bCs/>
        </w:rPr>
        <w:t>__________________________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North Carolina State University</w:t>
      </w:r>
      <w:r w:rsidRPr="003601AA">
        <w:rPr>
          <w:rFonts w:cs="Calibri"/>
          <w:bCs/>
          <w:sz w:val="16"/>
          <w:szCs w:val="16"/>
        </w:rPr>
        <w:t>_______________________________________________________</w:t>
      </w:r>
      <w:r w:rsidR="00E33557">
        <w:rPr>
          <w:rFonts w:cs="Calibri"/>
          <w:bCs/>
          <w:sz w:val="16"/>
          <w:szCs w:val="16"/>
        </w:rPr>
        <w:t>_______</w:t>
      </w:r>
      <w:r w:rsidRPr="003601AA">
        <w:rPr>
          <w:rFonts w:cs="Calibri"/>
          <w:bCs/>
          <w:sz w:val="16"/>
          <w:szCs w:val="16"/>
        </w:rPr>
        <w:t>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Administrative Services III Campus Box 7920</w:t>
      </w:r>
      <w:r w:rsidRPr="003601AA">
        <w:rPr>
          <w:rFonts w:cs="Calibri"/>
          <w:bCs/>
          <w:sz w:val="16"/>
          <w:szCs w:val="16"/>
        </w:rPr>
        <w:t>______________________________</w:t>
      </w:r>
      <w:r w:rsidR="00E33557">
        <w:rPr>
          <w:rFonts w:cs="Calibri"/>
          <w:bCs/>
          <w:sz w:val="16"/>
          <w:szCs w:val="16"/>
        </w:rPr>
        <w:t>_______________________________</w:t>
      </w:r>
      <w:r w:rsidR="00C46B32">
        <w:rPr>
          <w:rFonts w:cs="Calibri"/>
          <w:bCs/>
          <w:sz w:val="16"/>
          <w:szCs w:val="16"/>
        </w:rPr>
        <w:t>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2701 Sullivan Dr.</w:t>
      </w:r>
      <w:r w:rsidRPr="003601AA">
        <w:rPr>
          <w:rFonts w:cs="Calibri"/>
          <w:bCs/>
          <w:sz w:val="16"/>
          <w:szCs w:val="16"/>
        </w:rPr>
        <w:t>_______________________________________________</w:t>
      </w:r>
      <w:r w:rsidR="00E33557">
        <w:rPr>
          <w:rFonts w:cs="Calibri"/>
          <w:bCs/>
          <w:sz w:val="16"/>
          <w:szCs w:val="16"/>
        </w:rPr>
        <w:t>_______________________</w:t>
      </w:r>
      <w:r w:rsidR="00C46B32">
        <w:rPr>
          <w:rFonts w:cs="Calibri"/>
          <w:bCs/>
          <w:sz w:val="16"/>
          <w:szCs w:val="16"/>
        </w:rPr>
        <w:t>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Raleigh, NC 27695</w:t>
      </w:r>
      <w:r w:rsidRPr="003601AA">
        <w:rPr>
          <w:rFonts w:cs="Calibri"/>
          <w:bCs/>
          <w:sz w:val="16"/>
          <w:szCs w:val="16"/>
        </w:rPr>
        <w:t>_____________________________________________</w:t>
      </w:r>
      <w:r w:rsidR="00E33557">
        <w:rPr>
          <w:rFonts w:cs="Calibri"/>
          <w:bCs/>
          <w:sz w:val="16"/>
          <w:szCs w:val="16"/>
        </w:rPr>
        <w:t>__________________</w:t>
      </w:r>
      <w:r w:rsidRPr="003601AA">
        <w:rPr>
          <w:rFonts w:cs="Calibri"/>
          <w:bCs/>
          <w:sz w:val="16"/>
          <w:szCs w:val="16"/>
        </w:rPr>
        <w:t>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3557">
        <w:rPr>
          <w:rFonts w:cs="Calibri"/>
          <w:bCs/>
        </w:rPr>
        <w:t>919-513-0373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E33557">
        <w:rPr>
          <w:rFonts w:cs="Calibri"/>
          <w:bCs/>
        </w:rPr>
        <w:t>______________</w:t>
      </w:r>
      <w:r w:rsidR="004844AA">
        <w:rPr>
          <w:rFonts w:cs="Calibri"/>
          <w:bCs/>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3557">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3557">
        <w:rPr>
          <w:rFonts w:cs="Calibri"/>
          <w:bCs/>
          <w:sz w:val="16"/>
          <w:szCs w:val="16"/>
        </w:rPr>
        <w:t>__</w:t>
      </w:r>
      <w:r w:rsidRPr="003601AA">
        <w:rPr>
          <w:rFonts w:cs="Calibri"/>
          <w:bCs/>
          <w:sz w:val="16"/>
          <w:szCs w:val="16"/>
        </w:rPr>
        <w:t>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6803A6">
        <w:rPr>
          <w:rFonts w:cs="Calibri"/>
          <w:bCs/>
        </w:rPr>
        <w:t>Centennial Campus Utility Infrast</w:t>
      </w:r>
      <w:r w:rsidR="00B80EAC">
        <w:rPr>
          <w:rFonts w:cs="Calibri"/>
          <w:bCs/>
        </w:rPr>
        <w:t>ructure Thermal Energy Storage Package A</w:t>
      </w:r>
      <w:r w:rsidR="006803A6">
        <w:rPr>
          <w:rFonts w:cs="Calibri"/>
          <w:bCs/>
        </w:rPr>
        <w:t xml:space="preserve"> </w:t>
      </w:r>
      <w:r w:rsidR="00B80EAC">
        <w:rPr>
          <w:rFonts w:cs="Calibri"/>
          <w:bCs/>
        </w:rPr>
        <w:t>_____</w:t>
      </w:r>
      <w:r w:rsidR="00E33557">
        <w:rPr>
          <w:rFonts w:cs="Calibri"/>
          <w:bCs/>
        </w:rPr>
        <w:t>_____</w:t>
      </w:r>
      <w:r w:rsidRPr="003601AA">
        <w:rPr>
          <w:rFonts w:cs="Calibri"/>
          <w:bCs/>
        </w:rPr>
        <w:t>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3557">
        <w:rPr>
          <w:rFonts w:cs="Calibri"/>
          <w:bCs/>
          <w:sz w:val="16"/>
          <w:szCs w:val="16"/>
        </w:rPr>
        <w:t>North Carolina State University</w:t>
      </w:r>
      <w:r w:rsidRPr="003601AA">
        <w:rPr>
          <w:rFonts w:cs="Calibri"/>
          <w:bCs/>
          <w:sz w:val="16"/>
          <w:szCs w:val="16"/>
        </w:rPr>
        <w:t>_______________________________________________________________</w:t>
      </w:r>
      <w:r w:rsidR="00E33557">
        <w:rPr>
          <w:rFonts w:cs="Calibri"/>
          <w:bCs/>
          <w:sz w:val="16"/>
          <w:szCs w:val="16"/>
        </w:rPr>
        <w:t>_______________</w:t>
      </w:r>
      <w:r w:rsidR="00F41637">
        <w:rPr>
          <w:rFonts w:cs="Calibri"/>
          <w:bCs/>
          <w:sz w:val="16"/>
          <w:szCs w:val="16"/>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803A6">
        <w:rPr>
          <w:rFonts w:cs="Calibri"/>
          <w:bCs/>
          <w:sz w:val="16"/>
          <w:szCs w:val="16"/>
        </w:rPr>
        <w:t xml:space="preserve">Centennial Campus, </w:t>
      </w:r>
      <w:r w:rsidR="00D0797C">
        <w:rPr>
          <w:rFonts w:cs="Calibri"/>
          <w:bCs/>
          <w:sz w:val="16"/>
          <w:szCs w:val="16"/>
        </w:rPr>
        <w:t>Raleigh, NC</w:t>
      </w:r>
      <w:r w:rsidR="006803A6">
        <w:rPr>
          <w:rFonts w:cs="Calibri"/>
          <w:bCs/>
          <w:sz w:val="16"/>
          <w:szCs w:val="16"/>
        </w:rPr>
        <w:t xml:space="preserve"> </w:t>
      </w:r>
      <w:r w:rsidRPr="003601AA">
        <w:rPr>
          <w:rFonts w:cs="Calibri"/>
          <w:bCs/>
          <w:sz w:val="16"/>
          <w:szCs w:val="16"/>
        </w:rPr>
        <w:t>___________________________</w:t>
      </w:r>
      <w:r w:rsidR="00D0797C">
        <w:rPr>
          <w:rFonts w:cs="Calibri"/>
          <w:bCs/>
          <w:sz w:val="16"/>
          <w:szCs w:val="16"/>
        </w:rPr>
        <w:t>________________________</w:t>
      </w:r>
      <w:r w:rsidRPr="003601AA">
        <w:rPr>
          <w:rFonts w:cs="Calibri"/>
          <w:bCs/>
          <w:sz w:val="16"/>
          <w:szCs w:val="16"/>
        </w:rPr>
        <w:t>____</w:t>
      </w:r>
      <w:r>
        <w:rPr>
          <w:rFonts w:cs="Calibri"/>
          <w:bCs/>
          <w:sz w:val="16"/>
          <w:szCs w:val="16"/>
        </w:rPr>
        <w:t>___________</w:t>
      </w:r>
      <w:r w:rsidR="006803A6">
        <w:rPr>
          <w:rFonts w:cs="Calibri"/>
          <w:bCs/>
          <w:sz w:val="16"/>
          <w:szCs w:val="16"/>
        </w:rPr>
        <w:t>_____</w:t>
      </w:r>
      <w:r w:rsidR="006803A6" w:rsidRPr="003601AA">
        <w:rPr>
          <w:rFonts w:cs="Calibri"/>
          <w:bCs/>
          <w:sz w:val="16"/>
          <w:szCs w:val="16"/>
        </w:rPr>
        <w:t>____</w:t>
      </w:r>
      <w:r w:rsidR="006803A6">
        <w:rPr>
          <w:rFonts w:cs="Calibri"/>
          <w:bCs/>
          <w:sz w:val="16"/>
          <w:szCs w:val="16"/>
        </w:rPr>
        <w:t>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RMF Engineering</w:t>
      </w:r>
      <w:r w:rsidRPr="003601AA">
        <w:rPr>
          <w:rFonts w:cs="Calibri"/>
          <w:bCs/>
          <w:sz w:val="16"/>
          <w:szCs w:val="16"/>
        </w:rPr>
        <w:t>______________________________________________________</w:t>
      </w:r>
      <w:r w:rsidR="00D0797C">
        <w:rPr>
          <w:rFonts w:cs="Calibri"/>
          <w:bCs/>
          <w:sz w:val="16"/>
          <w:szCs w:val="16"/>
        </w:rPr>
        <w:t>___________________</w:t>
      </w:r>
      <w:r w:rsidRPr="003601AA">
        <w:rPr>
          <w:rFonts w:cs="Calibri"/>
          <w:bCs/>
          <w:sz w:val="16"/>
          <w:szCs w:val="16"/>
        </w:rPr>
        <w:t>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Construction__________________</w:t>
      </w:r>
      <w:r w:rsidRPr="003601AA">
        <w:rPr>
          <w:rFonts w:cs="Calibri"/>
          <w:bCs/>
          <w:sz w:val="16"/>
          <w:szCs w:val="16"/>
        </w:rPr>
        <w:t>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F20B2E">
        <w:rPr>
          <w:rFonts w:cs="Calibri"/>
          <w:bCs/>
          <w:sz w:val="16"/>
          <w:szCs w:val="16"/>
        </w:rPr>
        <w:t>September 2018</w:t>
      </w:r>
      <w:r w:rsidR="00F41637">
        <w:rPr>
          <w:rFonts w:cs="Calibri"/>
          <w:bCs/>
          <w:sz w:val="16"/>
          <w:szCs w:val="16"/>
        </w:rPr>
        <w:t>___</w:t>
      </w:r>
      <w:r w:rsidRPr="003601AA">
        <w:rPr>
          <w:rFonts w:cs="Calibri"/>
          <w:bCs/>
          <w:sz w:val="16"/>
          <w:szCs w:val="16"/>
        </w:rPr>
        <w:t>__</w:t>
      </w:r>
      <w:r w:rsidR="00D0797C">
        <w:rPr>
          <w:rFonts w:cs="Calibri"/>
          <w:bCs/>
          <w:sz w:val="16"/>
          <w:szCs w:val="16"/>
        </w:rPr>
        <w:t>________________________</w:t>
      </w:r>
      <w:r w:rsidR="00F20B2E">
        <w:rPr>
          <w:rFonts w:cs="Calibri"/>
          <w:bCs/>
          <w:sz w:val="16"/>
          <w:szCs w:val="16"/>
        </w:rPr>
        <w:t>_______</w:t>
      </w:r>
      <w:r w:rsidRPr="003601AA">
        <w:rPr>
          <w:rFonts w:cs="Calibri"/>
          <w:bCs/>
          <w:sz w:val="16"/>
          <w:szCs w:val="16"/>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AE531C">
        <w:rPr>
          <w:rFonts w:cs="Calibri"/>
          <w:bCs/>
          <w:sz w:val="16"/>
          <w:szCs w:val="16"/>
        </w:rPr>
        <w:t>Approximately</w:t>
      </w:r>
      <w:r w:rsidR="00082EF8">
        <w:rPr>
          <w:rFonts w:cs="Calibri"/>
          <w:bCs/>
          <w:sz w:val="16"/>
          <w:szCs w:val="16"/>
        </w:rPr>
        <w:t xml:space="preserve"> </w:t>
      </w:r>
      <w:r w:rsidR="00AE531C">
        <w:rPr>
          <w:rFonts w:cs="Calibri"/>
          <w:bCs/>
          <w:sz w:val="16"/>
          <w:szCs w:val="16"/>
        </w:rPr>
        <w:t xml:space="preserve"> </w:t>
      </w:r>
      <w:r w:rsidR="00082EF8">
        <w:rPr>
          <w:rFonts w:cs="Calibri"/>
          <w:bCs/>
          <w:sz w:val="16"/>
          <w:szCs w:val="16"/>
        </w:rPr>
        <w:t>1</w:t>
      </w:r>
      <w:r w:rsidR="00AE531C">
        <w:rPr>
          <w:rFonts w:cs="Calibri"/>
          <w:bCs/>
          <w:sz w:val="16"/>
          <w:szCs w:val="16"/>
        </w:rPr>
        <w:t>8</w:t>
      </w:r>
      <w:r w:rsidR="00D0797C">
        <w:rPr>
          <w:rFonts w:cs="Calibri"/>
          <w:bCs/>
          <w:sz w:val="16"/>
          <w:szCs w:val="16"/>
        </w:rPr>
        <w:t xml:space="preserve"> Months</w:t>
      </w:r>
      <w:r w:rsidRPr="003601AA">
        <w:rPr>
          <w:rFonts w:cs="Calibri"/>
          <w:bCs/>
          <w:sz w:val="16"/>
          <w:szCs w:val="16"/>
        </w:rPr>
        <w:t>____</w:t>
      </w:r>
      <w:r w:rsidR="00D0797C">
        <w:rPr>
          <w:rFonts w:cs="Calibri"/>
          <w:bCs/>
          <w:sz w:val="16"/>
          <w:szCs w:val="16"/>
        </w:rPr>
        <w:t>______________</w:t>
      </w:r>
      <w:r w:rsidRPr="003601AA">
        <w:rPr>
          <w:rFonts w:cs="Calibri"/>
          <w:bCs/>
          <w:sz w:val="16"/>
          <w:szCs w:val="16"/>
        </w:rPr>
        <w:t>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3C35BB">
        <w:rPr>
          <w:rFonts w:cs="Calibri"/>
          <w:bCs/>
          <w:sz w:val="16"/>
          <w:szCs w:val="16"/>
        </w:rPr>
        <w:t>Winter 2019 Spring 2020</w:t>
      </w:r>
      <w:r w:rsidR="00082EF8">
        <w:rPr>
          <w:rFonts w:cs="Calibri"/>
          <w:bCs/>
          <w:sz w:val="16"/>
          <w:szCs w:val="16"/>
        </w:rPr>
        <w:t>______</w:t>
      </w:r>
      <w:r w:rsidR="00F41637">
        <w:rPr>
          <w:rFonts w:cs="Calibri"/>
          <w:bCs/>
          <w:sz w:val="16"/>
          <w:szCs w:val="16"/>
        </w:rPr>
        <w:t>____</w:t>
      </w:r>
      <w:r w:rsidR="003C35BB">
        <w:rPr>
          <w:rFonts w:cs="Calibri"/>
          <w:bCs/>
          <w:sz w:val="16"/>
          <w:szCs w:val="16"/>
        </w:rPr>
        <w:t>_</w:t>
      </w:r>
      <w:r w:rsidRPr="003601AA">
        <w:rPr>
          <w:rFonts w:cs="Calibri"/>
          <w:bCs/>
          <w:sz w:val="16"/>
          <w:szCs w:val="16"/>
        </w:rPr>
        <w:t>___</w:t>
      </w:r>
      <w:r w:rsidR="003C35BB">
        <w:rPr>
          <w:rFonts w:cs="Calibri"/>
          <w:bCs/>
          <w:sz w:val="16"/>
          <w:szCs w:val="16"/>
        </w:rPr>
        <w:t>_______________</w:t>
      </w:r>
      <w:r w:rsidR="00AE531C">
        <w:rPr>
          <w:rFonts w:cs="Calibri"/>
          <w:bCs/>
          <w:sz w:val="16"/>
          <w:szCs w:val="16"/>
        </w:rPr>
        <w:t>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82EF8">
        <w:rPr>
          <w:rFonts w:cs="Calibri"/>
          <w:bCs/>
          <w:sz w:val="16"/>
          <w:szCs w:val="16"/>
        </w:rPr>
        <w:t>Approximately 9.6</w:t>
      </w:r>
      <w:r w:rsidR="00D0797C">
        <w:rPr>
          <w:rFonts w:cs="Calibri"/>
          <w:bCs/>
          <w:sz w:val="16"/>
          <w:szCs w:val="16"/>
        </w:rPr>
        <w:t xml:space="preserve"> Million_____________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w:t>
      </w:r>
      <w:r w:rsidR="004B0421">
        <w:rPr>
          <w:rFonts w:cs="Calibri"/>
          <w:bCs/>
          <w:sz w:val="16"/>
          <w:szCs w:val="16"/>
        </w:rPr>
        <w:t>Approximately 5.2</w:t>
      </w:r>
      <w:r w:rsidR="00AE531C">
        <w:rPr>
          <w:rFonts w:cs="Calibri"/>
          <w:bCs/>
          <w:sz w:val="16"/>
          <w:szCs w:val="16"/>
        </w:rPr>
        <w:t xml:space="preserve"> Million</w:t>
      </w:r>
      <w:r w:rsidR="00F41637">
        <w:rPr>
          <w:rFonts w:cs="Calibri"/>
          <w:bCs/>
          <w:sz w:val="16"/>
          <w:szCs w:val="16"/>
        </w:rPr>
        <w:t>___</w:t>
      </w:r>
      <w:r w:rsidRPr="003601AA">
        <w:rPr>
          <w:rFonts w:cs="Calibri"/>
          <w:bCs/>
          <w:sz w:val="16"/>
          <w:szCs w:val="16"/>
        </w:rPr>
        <w:t>_________</w:t>
      </w:r>
      <w:r w:rsidR="003C35BB">
        <w:rPr>
          <w:rFonts w:cs="Calibri"/>
          <w:bCs/>
          <w:sz w:val="16"/>
          <w:szCs w:val="16"/>
        </w:rPr>
        <w:t>______________</w:t>
      </w:r>
      <w:r w:rsidR="00AE531C">
        <w:rPr>
          <w:rFonts w:cs="Calibri"/>
          <w:bCs/>
          <w:sz w:val="16"/>
          <w:szCs w:val="16"/>
        </w:rPr>
        <w:t>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A86357" w:rsidRDefault="00A86357" w:rsidP="00C051C7">
      <w:pPr>
        <w:autoSpaceDE w:val="0"/>
        <w:autoSpaceDN w:val="0"/>
        <w:adjustRightInd w:val="0"/>
        <w:rPr>
          <w:rFonts w:cs="Calibri"/>
          <w:b/>
          <w:bCs/>
          <w:color w:val="000000"/>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F57AFB" w:rsidRDefault="00F57AFB" w:rsidP="00F57AFB">
      <w:pPr>
        <w:tabs>
          <w:tab w:val="left" w:pos="4260"/>
        </w:tabs>
        <w:autoSpaceDE w:val="0"/>
        <w:autoSpaceDN w:val="0"/>
        <w:adjustRightInd w:val="0"/>
        <w:rPr>
          <w:rFonts w:cs="Calibri"/>
        </w:rPr>
      </w:pPr>
    </w:p>
    <w:p w:rsidR="000044A5" w:rsidRPr="003601AA" w:rsidRDefault="00FB5DFB" w:rsidP="00C051C7">
      <w:pPr>
        <w:autoSpaceDE w:val="0"/>
        <w:autoSpaceDN w:val="0"/>
        <w:adjustRightInd w:val="0"/>
        <w:rPr>
          <w:rFonts w:cs="Calibri"/>
          <w:b/>
          <w:bCs/>
          <w:color w:val="000000"/>
        </w:rPr>
      </w:pPr>
      <w:r w:rsidRPr="00F57AFB">
        <w:rPr>
          <w:rFonts w:cs="Calibri"/>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110168" w:rsidRDefault="00110168" w:rsidP="00110168">
      <w:pPr>
        <w:pStyle w:val="BodyText"/>
        <w:ind w:right="162"/>
        <w:jc w:val="both"/>
      </w:pPr>
      <w:r>
        <w:t>This project design expands chilled water capacity with the addition of a stratified chilled water thermal energy</w:t>
      </w:r>
      <w:r>
        <w:rPr>
          <w:spacing w:val="-29"/>
        </w:rPr>
        <w:t xml:space="preserve"> </w:t>
      </w:r>
      <w:r>
        <w:t>storage tank (TES) located adjacent to CCUP. Project delivery for this package is currently anticipated to be by a</w:t>
      </w:r>
      <w:r>
        <w:rPr>
          <w:spacing w:val="-23"/>
        </w:rPr>
        <w:t xml:space="preserve"> </w:t>
      </w:r>
      <w:r>
        <w:t>single-prime general contractor. Pre-construction services included support from a construction manager (DPR) and a</w:t>
      </w:r>
      <w:r>
        <w:rPr>
          <w:spacing w:val="-30"/>
        </w:rPr>
        <w:t xml:space="preserve"> </w:t>
      </w:r>
      <w:r>
        <w:t>third-party commissioning agent (Burns &amp; McDonald). Commissioning involvement is anticipated to continue throughout</w:t>
      </w:r>
      <w:r>
        <w:rPr>
          <w:spacing w:val="-21"/>
        </w:rPr>
        <w:t xml:space="preserve"> </w:t>
      </w:r>
      <w:r>
        <w:t>the construction</w:t>
      </w:r>
      <w:r>
        <w:rPr>
          <w:spacing w:val="-7"/>
        </w:rPr>
        <w:t xml:space="preserve"> </w:t>
      </w:r>
      <w:r>
        <w:t>process.</w:t>
      </w:r>
    </w:p>
    <w:p w:rsidR="00110168" w:rsidRDefault="00110168" w:rsidP="00110168">
      <w:pPr>
        <w:spacing w:before="10"/>
        <w:jc w:val="both"/>
        <w:rPr>
          <w:rFonts w:cs="Calibri"/>
          <w:sz w:val="21"/>
          <w:szCs w:val="21"/>
        </w:rPr>
      </w:pPr>
    </w:p>
    <w:p w:rsidR="00110168" w:rsidRDefault="00110168" w:rsidP="00110168">
      <w:pPr>
        <w:pStyle w:val="Heading2"/>
        <w:ind w:right="162"/>
        <w:jc w:val="both"/>
        <w:rPr>
          <w:b w:val="0"/>
          <w:bCs w:val="0"/>
        </w:rPr>
      </w:pPr>
      <w:r>
        <w:t>CIVIL</w:t>
      </w:r>
    </w:p>
    <w:p w:rsidR="00110168" w:rsidRDefault="00110168" w:rsidP="00110168">
      <w:pPr>
        <w:spacing w:before="1"/>
        <w:jc w:val="both"/>
        <w:rPr>
          <w:rFonts w:cs="Calibri"/>
          <w:b/>
          <w:bCs/>
        </w:rPr>
      </w:pPr>
    </w:p>
    <w:p w:rsidR="00110168" w:rsidRDefault="00110168" w:rsidP="00110168">
      <w:pPr>
        <w:pStyle w:val="BodyText"/>
        <w:jc w:val="both"/>
      </w:pPr>
      <w:r>
        <w:t>The TES site will be graded in preparation for deep foundation work and to provide a service vehicular entrance road</w:t>
      </w:r>
      <w:r>
        <w:rPr>
          <w:spacing w:val="-34"/>
        </w:rPr>
        <w:t xml:space="preserve"> </w:t>
      </w:r>
      <w:r>
        <w:t>on the north side of the tank with two 8ft wide entry gates. Additionally, a concrete perimeter service access</w:t>
      </w:r>
      <w:r>
        <w:rPr>
          <w:spacing w:val="-29"/>
        </w:rPr>
        <w:t xml:space="preserve"> </w:t>
      </w:r>
      <w:r>
        <w:t>drive/walkway will be established. A modular concrete retaining wall will be utilized from tank one-o-clock to tank six-o-clock.</w:t>
      </w:r>
      <w:r>
        <w:rPr>
          <w:spacing w:val="25"/>
        </w:rPr>
        <w:t xml:space="preserve"> </w:t>
      </w:r>
      <w:r>
        <w:t>Storm water will sheet flow from the tank area to the west and south. A sanitary connection for TES overflow will also</w:t>
      </w:r>
      <w:r>
        <w:rPr>
          <w:spacing w:val="-27"/>
        </w:rPr>
        <w:t xml:space="preserve"> </w:t>
      </w:r>
      <w:r>
        <w:t>be</w:t>
      </w:r>
      <w:r>
        <w:rPr>
          <w:spacing w:val="-1"/>
        </w:rPr>
        <w:t xml:space="preserve"> </w:t>
      </w:r>
      <w:r>
        <w:t xml:space="preserve">provided. </w:t>
      </w:r>
      <w:r>
        <w:rPr>
          <w:rFonts w:cs="Calibri"/>
        </w:rPr>
        <w:t>A short run of 20”u</w:t>
      </w:r>
      <w:r>
        <w:t>nderground ductile-iron chilled water piping will be routed from tank connections to</w:t>
      </w:r>
      <w:r>
        <w:rPr>
          <w:spacing w:val="-29"/>
        </w:rPr>
        <w:t xml:space="preserve"> </w:t>
      </w:r>
      <w:r>
        <w:t>just outside of the</w:t>
      </w:r>
      <w:r>
        <w:rPr>
          <w:spacing w:val="-2"/>
        </w:rPr>
        <w:t xml:space="preserve"> </w:t>
      </w:r>
      <w:r>
        <w:t>plant.</w:t>
      </w:r>
    </w:p>
    <w:p w:rsidR="00110168" w:rsidRDefault="00110168" w:rsidP="00110168">
      <w:pPr>
        <w:spacing w:before="10"/>
        <w:jc w:val="both"/>
        <w:rPr>
          <w:rFonts w:cs="Calibri"/>
          <w:sz w:val="21"/>
          <w:szCs w:val="21"/>
        </w:rPr>
      </w:pPr>
    </w:p>
    <w:p w:rsidR="00110168" w:rsidRDefault="00110168" w:rsidP="00110168">
      <w:pPr>
        <w:pStyle w:val="Heading2"/>
        <w:ind w:right="162"/>
        <w:jc w:val="both"/>
        <w:rPr>
          <w:b w:val="0"/>
          <w:bCs w:val="0"/>
        </w:rPr>
      </w:pPr>
      <w:r>
        <w:t>ARCHITECTURAL</w:t>
      </w:r>
    </w:p>
    <w:p w:rsidR="00110168" w:rsidRDefault="00110168" w:rsidP="00110168">
      <w:pPr>
        <w:jc w:val="both"/>
        <w:rPr>
          <w:rFonts w:cs="Calibri"/>
          <w:b/>
          <w:bCs/>
        </w:rPr>
      </w:pPr>
    </w:p>
    <w:p w:rsidR="00110168" w:rsidRDefault="00110168" w:rsidP="00110168">
      <w:pPr>
        <w:pStyle w:val="BodyText"/>
        <w:ind w:right="235"/>
        <w:jc w:val="both"/>
      </w:pPr>
      <w:r>
        <w:t>The</w:t>
      </w:r>
      <w:r>
        <w:rPr>
          <w:spacing w:val="-1"/>
        </w:rPr>
        <w:t xml:space="preserve"> </w:t>
      </w:r>
      <w:r>
        <w:t>TES</w:t>
      </w:r>
      <w:r>
        <w:rPr>
          <w:spacing w:val="-3"/>
        </w:rPr>
        <w:t xml:space="preserve"> </w:t>
      </w:r>
      <w:r>
        <w:t>is</w:t>
      </w:r>
      <w:r>
        <w:rPr>
          <w:spacing w:val="-1"/>
        </w:rPr>
        <w:t xml:space="preserve"> </w:t>
      </w:r>
      <w:r>
        <w:t>a</w:t>
      </w:r>
      <w:r>
        <w:rPr>
          <w:spacing w:val="-1"/>
        </w:rPr>
        <w:t xml:space="preserve"> </w:t>
      </w:r>
      <w:r>
        <w:t>significant</w:t>
      </w:r>
      <w:r>
        <w:rPr>
          <w:spacing w:val="-3"/>
        </w:rPr>
        <w:t xml:space="preserve"> </w:t>
      </w:r>
      <w:r>
        <w:t>structure</w:t>
      </w:r>
      <w:r>
        <w:rPr>
          <w:spacing w:val="-3"/>
        </w:rPr>
        <w:t xml:space="preserve"> </w:t>
      </w:r>
      <w:r>
        <w:t>on</w:t>
      </w:r>
      <w:r>
        <w:rPr>
          <w:spacing w:val="-2"/>
        </w:rPr>
        <w:t xml:space="preserve"> </w:t>
      </w:r>
      <w:r>
        <w:t>campus,</w:t>
      </w:r>
      <w:r>
        <w:rPr>
          <w:spacing w:val="-1"/>
        </w:rPr>
        <w:t xml:space="preserve"> </w:t>
      </w:r>
      <w:r>
        <w:t>however</w:t>
      </w:r>
      <w:r>
        <w:rPr>
          <w:spacing w:val="-3"/>
        </w:rPr>
        <w:t xml:space="preserve"> </w:t>
      </w:r>
      <w:r>
        <w:t>its</w:t>
      </w:r>
      <w:r>
        <w:rPr>
          <w:spacing w:val="-2"/>
        </w:rPr>
        <w:t xml:space="preserve"> </w:t>
      </w:r>
      <w:r>
        <w:t>placement</w:t>
      </w:r>
      <w:r>
        <w:rPr>
          <w:spacing w:val="-4"/>
        </w:rPr>
        <w:t xml:space="preserve"> </w:t>
      </w:r>
      <w:r>
        <w:t>is</w:t>
      </w:r>
      <w:r>
        <w:rPr>
          <w:spacing w:val="-1"/>
        </w:rPr>
        <w:t xml:space="preserve"> </w:t>
      </w:r>
      <w:r>
        <w:t>ideal</w:t>
      </w:r>
      <w:r>
        <w:rPr>
          <w:spacing w:val="-4"/>
        </w:rPr>
        <w:t xml:space="preserve"> </w:t>
      </w:r>
      <w:r>
        <w:t>in</w:t>
      </w:r>
      <w:r>
        <w:rPr>
          <w:spacing w:val="-1"/>
        </w:rPr>
        <w:t xml:space="preserve"> </w:t>
      </w:r>
      <w:r>
        <w:t>that</w:t>
      </w:r>
      <w:r>
        <w:rPr>
          <w:spacing w:val="-1"/>
        </w:rPr>
        <w:t xml:space="preserve"> </w:t>
      </w:r>
      <w:r>
        <w:t>views</w:t>
      </w:r>
      <w:r>
        <w:rPr>
          <w:spacing w:val="-1"/>
        </w:rPr>
        <w:t xml:space="preserve"> </w:t>
      </w:r>
      <w:r>
        <w:t>are</w:t>
      </w:r>
      <w:r>
        <w:rPr>
          <w:spacing w:val="-3"/>
        </w:rPr>
        <w:t xml:space="preserve"> </w:t>
      </w:r>
      <w:r>
        <w:t>obscured</w:t>
      </w:r>
      <w:r>
        <w:rPr>
          <w:spacing w:val="-1"/>
        </w:rPr>
        <w:t xml:space="preserve"> </w:t>
      </w:r>
      <w:r>
        <w:t>from</w:t>
      </w:r>
      <w:r>
        <w:rPr>
          <w:spacing w:val="-2"/>
        </w:rPr>
        <w:t xml:space="preserve"> </w:t>
      </w:r>
      <w:r>
        <w:t>most</w:t>
      </w:r>
      <w:r>
        <w:rPr>
          <w:spacing w:val="-1"/>
        </w:rPr>
        <w:t xml:space="preserve"> </w:t>
      </w:r>
      <w:r>
        <w:t>vantage points with exception of the Partners II surface parking lot and associated access road. The tank will be</w:t>
      </w:r>
      <w:r>
        <w:rPr>
          <w:spacing w:val="-23"/>
        </w:rPr>
        <w:t xml:space="preserve"> </w:t>
      </w:r>
      <w:r>
        <w:t>clad with vertical standing seamed, insulated, metal panels. The panel pattern utilizes a stack of two to three</w:t>
      </w:r>
      <w:r>
        <w:rPr>
          <w:spacing w:val="-27"/>
        </w:rPr>
        <w:t xml:space="preserve"> </w:t>
      </w:r>
      <w:r>
        <w:t>vertical segments of varying heights and three custom colors including white and various grey tones. The tank color</w:t>
      </w:r>
      <w:r>
        <w:rPr>
          <w:spacing w:val="-25"/>
        </w:rPr>
        <w:t xml:space="preserve"> </w:t>
      </w:r>
      <w:r>
        <w:t>scheme concentrates darker on the lower portion of the tank and trends to lighter gray and white on the upper</w:t>
      </w:r>
      <w:r>
        <w:rPr>
          <w:spacing w:val="-26"/>
        </w:rPr>
        <w:t xml:space="preserve"> </w:t>
      </w:r>
      <w:r>
        <w:t>vertical segments.  Tank siting and aesthetics have been approved by the campus design review panel</w:t>
      </w:r>
      <w:r>
        <w:rPr>
          <w:spacing w:val="-34"/>
        </w:rPr>
        <w:t xml:space="preserve"> </w:t>
      </w:r>
      <w:r>
        <w:t>(CDRP).</w:t>
      </w:r>
    </w:p>
    <w:p w:rsidR="00110168" w:rsidRDefault="00110168" w:rsidP="00110168">
      <w:pPr>
        <w:jc w:val="both"/>
        <w:rPr>
          <w:rFonts w:cs="Calibri"/>
        </w:rPr>
      </w:pPr>
    </w:p>
    <w:p w:rsidR="00110168" w:rsidRDefault="00110168" w:rsidP="00110168">
      <w:pPr>
        <w:pStyle w:val="BodyText"/>
        <w:ind w:right="225"/>
        <w:jc w:val="both"/>
      </w:pPr>
      <w:r>
        <w:t xml:space="preserve">TES security </w:t>
      </w:r>
      <w:r>
        <w:rPr>
          <w:rFonts w:cs="Calibri"/>
        </w:rPr>
        <w:t>is important to the project as it provides a large “canvas” for potential vandalism. Fence plus retaining</w:t>
      </w:r>
      <w:r>
        <w:rPr>
          <w:rFonts w:cs="Calibri"/>
          <w:spacing w:val="-32"/>
        </w:rPr>
        <w:t xml:space="preserve"> </w:t>
      </w:r>
      <w:r>
        <w:rPr>
          <w:rFonts w:cs="Calibri"/>
        </w:rPr>
        <w:t xml:space="preserve">wall </w:t>
      </w:r>
      <w:r>
        <w:t>height will be a minimum of 8 feet tall around the perimeter of the tank. Fencing will be basic chain-link type</w:t>
      </w:r>
      <w:r>
        <w:rPr>
          <w:spacing w:val="-28"/>
        </w:rPr>
        <w:t xml:space="preserve"> </w:t>
      </w:r>
      <w:r>
        <w:t>matching existing campus security</w:t>
      </w:r>
      <w:r>
        <w:rPr>
          <w:spacing w:val="-8"/>
        </w:rPr>
        <w:t xml:space="preserve"> </w:t>
      </w:r>
      <w:r>
        <w:t>fencing.</w:t>
      </w:r>
    </w:p>
    <w:p w:rsidR="00110168" w:rsidRDefault="00110168" w:rsidP="00110168">
      <w:pPr>
        <w:jc w:val="both"/>
        <w:rPr>
          <w:rFonts w:cs="Calibri"/>
        </w:rPr>
      </w:pPr>
    </w:p>
    <w:p w:rsidR="00110168" w:rsidRDefault="00110168" w:rsidP="00110168">
      <w:pPr>
        <w:pStyle w:val="BodyText"/>
        <w:spacing w:before="37"/>
        <w:ind w:right="162"/>
        <w:jc w:val="both"/>
      </w:pPr>
      <w:r>
        <w:t>Adjacent to the site are three greenhouses which will be minimally impacted by the shade of the tank. A shading</w:t>
      </w:r>
      <w:r>
        <w:rPr>
          <w:spacing w:val="8"/>
        </w:rPr>
        <w:t xml:space="preserve"> </w:t>
      </w:r>
      <w:r>
        <w:t>study was performed indicating that on the worst day of the year, the tank will shade on the eastern-most greenhouse</w:t>
      </w:r>
      <w:r>
        <w:rPr>
          <w:spacing w:val="-27"/>
        </w:rPr>
        <w:t xml:space="preserve"> </w:t>
      </w:r>
      <w:r>
        <w:t>less than an hour more than the existing trees. Further, shading by the tank will be solid, while the trees will provide</w:t>
      </w:r>
      <w:r>
        <w:rPr>
          <w:spacing w:val="13"/>
        </w:rPr>
        <w:t xml:space="preserve"> </w:t>
      </w:r>
      <w:r>
        <w:t>some amount of diffuse light during the shaded periods of the</w:t>
      </w:r>
      <w:r>
        <w:rPr>
          <w:spacing w:val="-19"/>
        </w:rPr>
        <w:t xml:space="preserve"> </w:t>
      </w:r>
      <w:r>
        <w:t>day.</w:t>
      </w:r>
    </w:p>
    <w:p w:rsidR="00110168" w:rsidRDefault="00110168" w:rsidP="00110168">
      <w:pPr>
        <w:spacing w:before="1"/>
        <w:jc w:val="both"/>
        <w:rPr>
          <w:rFonts w:cs="Calibri"/>
        </w:rPr>
      </w:pPr>
    </w:p>
    <w:p w:rsidR="00110168" w:rsidRDefault="00110168" w:rsidP="00110168">
      <w:pPr>
        <w:pStyle w:val="Heading2"/>
        <w:ind w:right="162"/>
        <w:jc w:val="both"/>
        <w:rPr>
          <w:b w:val="0"/>
          <w:bCs w:val="0"/>
        </w:rPr>
      </w:pPr>
      <w:r>
        <w:t>STRUCTURAL</w:t>
      </w:r>
    </w:p>
    <w:p w:rsidR="00110168" w:rsidRDefault="00110168" w:rsidP="00110168">
      <w:pPr>
        <w:spacing w:before="10"/>
        <w:jc w:val="both"/>
        <w:rPr>
          <w:rFonts w:cs="Calibri"/>
          <w:b/>
          <w:bCs/>
          <w:sz w:val="21"/>
          <w:szCs w:val="21"/>
        </w:rPr>
      </w:pPr>
    </w:p>
    <w:p w:rsidR="00110168" w:rsidRDefault="00110168" w:rsidP="00110168">
      <w:pPr>
        <w:pStyle w:val="BodyText"/>
        <w:ind w:right="162"/>
        <w:jc w:val="both"/>
      </w:pPr>
      <w:r>
        <w:t>A geotechnical investigation performed by Stewart Inc. on the site soils under the TES found that the tank would</w:t>
      </w:r>
      <w:r>
        <w:rPr>
          <w:spacing w:val="-31"/>
        </w:rPr>
        <w:t xml:space="preserve"> </w:t>
      </w:r>
      <w:r>
        <w:t xml:space="preserve">settle </w:t>
      </w:r>
      <w:r>
        <w:rPr>
          <w:rFonts w:cs="Calibri"/>
        </w:rPr>
        <w:t>10” – 12” from the anticipated ~6,000 psf bearing pressure. Stewart recommended the use of aggregate piers for</w:t>
      </w:r>
      <w:r>
        <w:rPr>
          <w:rFonts w:cs="Calibri"/>
          <w:spacing w:val="-21"/>
        </w:rPr>
        <w:t xml:space="preserve"> </w:t>
      </w:r>
      <w:r>
        <w:rPr>
          <w:rFonts w:cs="Calibri"/>
        </w:rPr>
        <w:t xml:space="preserve">the </w:t>
      </w:r>
      <w:r>
        <w:t>support</w:t>
      </w:r>
      <w:r>
        <w:rPr>
          <w:spacing w:val="-2"/>
        </w:rPr>
        <w:t xml:space="preserve"> </w:t>
      </w:r>
      <w:r>
        <w:t>of the</w:t>
      </w:r>
      <w:r>
        <w:rPr>
          <w:spacing w:val="-2"/>
        </w:rPr>
        <w:t xml:space="preserve"> </w:t>
      </w:r>
      <w:r>
        <w:t>tank</w:t>
      </w:r>
      <w:r>
        <w:rPr>
          <w:spacing w:val="-2"/>
        </w:rPr>
        <w:t xml:space="preserve"> </w:t>
      </w:r>
      <w:r>
        <w:t>and</w:t>
      </w:r>
      <w:r>
        <w:rPr>
          <w:spacing w:val="-1"/>
        </w:rPr>
        <w:t xml:space="preserve"> </w:t>
      </w:r>
      <w:r>
        <w:t>estimated</w:t>
      </w:r>
      <w:r>
        <w:rPr>
          <w:spacing w:val="-3"/>
        </w:rPr>
        <w:t xml:space="preserve"> </w:t>
      </w:r>
      <w:r>
        <w:t>a to</w:t>
      </w:r>
      <w:r>
        <w:rPr>
          <w:rFonts w:cs="Calibri"/>
        </w:rPr>
        <w:t>tal</w:t>
      </w:r>
      <w:r>
        <w:rPr>
          <w:rFonts w:cs="Calibri"/>
          <w:spacing w:val="-3"/>
        </w:rPr>
        <w:t xml:space="preserve"> </w:t>
      </w:r>
      <w:r>
        <w:rPr>
          <w:rFonts w:cs="Calibri"/>
        </w:rPr>
        <w:t>settlement</w:t>
      </w:r>
      <w:r>
        <w:rPr>
          <w:rFonts w:cs="Calibri"/>
          <w:spacing w:val="-3"/>
        </w:rPr>
        <w:t xml:space="preserve"> </w:t>
      </w:r>
      <w:r>
        <w:rPr>
          <w:rFonts w:cs="Calibri"/>
        </w:rPr>
        <w:t>not</w:t>
      </w:r>
      <w:r>
        <w:rPr>
          <w:rFonts w:cs="Calibri"/>
          <w:spacing w:val="-2"/>
        </w:rPr>
        <w:t xml:space="preserve"> </w:t>
      </w:r>
      <w:r>
        <w:rPr>
          <w:rFonts w:cs="Calibri"/>
        </w:rPr>
        <w:t>to</w:t>
      </w:r>
      <w:r>
        <w:rPr>
          <w:rFonts w:cs="Calibri"/>
          <w:spacing w:val="-1"/>
        </w:rPr>
        <w:t xml:space="preserve"> </w:t>
      </w:r>
      <w:r>
        <w:rPr>
          <w:rFonts w:cs="Calibri"/>
        </w:rPr>
        <w:t>exceed</w:t>
      </w:r>
      <w:r>
        <w:rPr>
          <w:rFonts w:cs="Calibri"/>
          <w:spacing w:val="-3"/>
        </w:rPr>
        <w:t xml:space="preserve"> </w:t>
      </w:r>
      <w:r>
        <w:rPr>
          <w:rFonts w:cs="Calibri"/>
        </w:rPr>
        <w:t>2”.</w:t>
      </w:r>
      <w:r>
        <w:rPr>
          <w:rFonts w:cs="Calibri"/>
          <w:spacing w:val="-3"/>
        </w:rPr>
        <w:t xml:space="preserve"> </w:t>
      </w:r>
      <w:r>
        <w:rPr>
          <w:rFonts w:cs="Calibri"/>
        </w:rPr>
        <w:t>Upon</w:t>
      </w:r>
      <w:r>
        <w:rPr>
          <w:rFonts w:cs="Calibri"/>
          <w:spacing w:val="-1"/>
        </w:rPr>
        <w:t xml:space="preserve"> </w:t>
      </w:r>
      <w:r>
        <w:rPr>
          <w:rFonts w:cs="Calibri"/>
        </w:rPr>
        <w:t>request by</w:t>
      </w:r>
      <w:r>
        <w:rPr>
          <w:rFonts w:cs="Calibri"/>
          <w:spacing w:val="-2"/>
        </w:rPr>
        <w:t xml:space="preserve"> </w:t>
      </w:r>
      <w:r>
        <w:rPr>
          <w:rFonts w:cs="Calibri"/>
        </w:rPr>
        <w:t>the</w:t>
      </w:r>
      <w:r>
        <w:rPr>
          <w:rFonts w:cs="Calibri"/>
          <w:spacing w:val="-2"/>
        </w:rPr>
        <w:t xml:space="preserve"> </w:t>
      </w:r>
      <w:r>
        <w:rPr>
          <w:rFonts w:cs="Calibri"/>
        </w:rPr>
        <w:t>University</w:t>
      </w:r>
      <w:r>
        <w:rPr>
          <w:rFonts w:cs="Calibri"/>
          <w:spacing w:val="-2"/>
        </w:rPr>
        <w:t xml:space="preserve"> </w:t>
      </w:r>
      <w:r>
        <w:rPr>
          <w:rFonts w:cs="Calibri"/>
        </w:rPr>
        <w:t>Stewart also</w:t>
      </w:r>
      <w:r>
        <w:rPr>
          <w:rFonts w:cs="Calibri"/>
          <w:spacing w:val="-48"/>
        </w:rPr>
        <w:t xml:space="preserve"> </w:t>
      </w:r>
      <w:r>
        <w:t>investigated the use of a steel pile foundation and determined that estimated total settlements would be less than</w:t>
      </w:r>
      <w:r>
        <w:rPr>
          <w:spacing w:val="-32"/>
        </w:rPr>
        <w:t xml:space="preserve"> </w:t>
      </w:r>
      <w:r>
        <w:t>an inch. The University then directed RMF Engineering to move forward with the steel pile foundation option. 250</w:t>
      </w:r>
      <w:r>
        <w:rPr>
          <w:spacing w:val="-28"/>
        </w:rPr>
        <w:t xml:space="preserve"> </w:t>
      </w:r>
      <w:r>
        <w:t>kip capacity steel H-</w:t>
      </w:r>
      <w:r>
        <w:rPr>
          <w:rFonts w:cs="Calibri"/>
        </w:rPr>
        <w:t>piles were selected to be driven to refusal in the weathered rock 45’ to 50’ below grade. The piles</w:t>
      </w:r>
      <w:r>
        <w:rPr>
          <w:rFonts w:cs="Calibri"/>
          <w:spacing w:val="-27"/>
        </w:rPr>
        <w:t xml:space="preserve"> </w:t>
      </w:r>
      <w:r>
        <w:rPr>
          <w:rFonts w:cs="Calibri"/>
        </w:rPr>
        <w:t>have been laid out evenly under the footprint of the tank at a 6’ spacing. The tops of the piles will be embedded 6” into</w:t>
      </w:r>
      <w:r>
        <w:rPr>
          <w:rFonts w:cs="Calibri"/>
          <w:spacing w:val="-23"/>
        </w:rPr>
        <w:t xml:space="preserve"> </w:t>
      </w:r>
      <w:r>
        <w:rPr>
          <w:rFonts w:cs="Calibri"/>
        </w:rPr>
        <w:t xml:space="preserve">the </w:t>
      </w:r>
      <w:r>
        <w:t>bottom of</w:t>
      </w:r>
      <w:r>
        <w:rPr>
          <w:spacing w:val="-4"/>
        </w:rPr>
        <w:t xml:space="preserve"> </w:t>
      </w:r>
      <w:r>
        <w:t>a</w:t>
      </w:r>
      <w:r>
        <w:rPr>
          <w:spacing w:val="-1"/>
        </w:rPr>
        <w:t xml:space="preserve"> </w:t>
      </w:r>
      <w:r>
        <w:t>three</w:t>
      </w:r>
      <w:r>
        <w:rPr>
          <w:spacing w:val="-1"/>
        </w:rPr>
        <w:t xml:space="preserve"> </w:t>
      </w:r>
      <w:r>
        <w:t>foot</w:t>
      </w:r>
      <w:r>
        <w:rPr>
          <w:spacing w:val="-3"/>
        </w:rPr>
        <w:t xml:space="preserve"> </w:t>
      </w:r>
      <w:r>
        <w:t>thick</w:t>
      </w:r>
      <w:r>
        <w:rPr>
          <w:spacing w:val="-1"/>
        </w:rPr>
        <w:t xml:space="preserve"> </w:t>
      </w:r>
      <w:r>
        <w:t>reinforced</w:t>
      </w:r>
      <w:r>
        <w:rPr>
          <w:spacing w:val="-4"/>
        </w:rPr>
        <w:t xml:space="preserve"> </w:t>
      </w:r>
      <w:r>
        <w:t>concrete</w:t>
      </w:r>
      <w:r>
        <w:rPr>
          <w:spacing w:val="-3"/>
        </w:rPr>
        <w:t xml:space="preserve"> </w:t>
      </w:r>
      <w:r>
        <w:t>pile</w:t>
      </w:r>
      <w:r>
        <w:rPr>
          <w:spacing w:val="-1"/>
        </w:rPr>
        <w:t xml:space="preserve"> </w:t>
      </w:r>
      <w:r>
        <w:t>cap</w:t>
      </w:r>
      <w:r>
        <w:rPr>
          <w:spacing w:val="-2"/>
        </w:rPr>
        <w:t xml:space="preserve"> </w:t>
      </w:r>
      <w:r>
        <w:t>on</w:t>
      </w:r>
      <w:r>
        <w:rPr>
          <w:spacing w:val="-2"/>
        </w:rPr>
        <w:t xml:space="preserve"> </w:t>
      </w:r>
      <w:r>
        <w:t>which</w:t>
      </w:r>
      <w:r>
        <w:rPr>
          <w:spacing w:val="-5"/>
        </w:rPr>
        <w:t xml:space="preserve"> </w:t>
      </w:r>
      <w:r>
        <w:t>the</w:t>
      </w:r>
      <w:r>
        <w:rPr>
          <w:spacing w:val="-3"/>
        </w:rPr>
        <w:t xml:space="preserve"> </w:t>
      </w:r>
      <w:r>
        <w:t>TES</w:t>
      </w:r>
      <w:r>
        <w:rPr>
          <w:spacing w:val="-4"/>
        </w:rPr>
        <w:t xml:space="preserve"> </w:t>
      </w:r>
      <w:r>
        <w:t>will</w:t>
      </w:r>
      <w:r>
        <w:rPr>
          <w:spacing w:val="-1"/>
        </w:rPr>
        <w:t xml:space="preserve"> </w:t>
      </w:r>
      <w:r>
        <w:t>bear.</w:t>
      </w:r>
      <w:r>
        <w:rPr>
          <w:spacing w:val="-2"/>
        </w:rPr>
        <w:t xml:space="preserve"> </w:t>
      </w:r>
      <w:r>
        <w:t>Installation</w:t>
      </w:r>
      <w:r>
        <w:rPr>
          <w:spacing w:val="-4"/>
        </w:rPr>
        <w:t xml:space="preserve"> </w:t>
      </w:r>
      <w:r>
        <w:t>and</w:t>
      </w:r>
      <w:r>
        <w:rPr>
          <w:spacing w:val="-3"/>
        </w:rPr>
        <w:t xml:space="preserve"> </w:t>
      </w:r>
      <w:r>
        <w:t>testing</w:t>
      </w:r>
      <w:r>
        <w:rPr>
          <w:spacing w:val="-4"/>
        </w:rPr>
        <w:t xml:space="preserve"> </w:t>
      </w:r>
      <w:r>
        <w:t>of</w:t>
      </w:r>
      <w:r>
        <w:rPr>
          <w:spacing w:val="-1"/>
        </w:rPr>
        <w:t xml:space="preserve"> </w:t>
      </w:r>
      <w:r>
        <w:t>all</w:t>
      </w:r>
      <w:r>
        <w:rPr>
          <w:spacing w:val="-1"/>
        </w:rPr>
        <w:t xml:space="preserve"> </w:t>
      </w:r>
      <w:r>
        <w:t>steel piles will be performed per NCDOT</w:t>
      </w:r>
      <w:r>
        <w:rPr>
          <w:spacing w:val="-17"/>
        </w:rPr>
        <w:t xml:space="preserve"> </w:t>
      </w:r>
      <w:r>
        <w:t>specifications.</w:t>
      </w:r>
    </w:p>
    <w:p w:rsidR="00110168" w:rsidRDefault="00110168" w:rsidP="00110168">
      <w:pPr>
        <w:spacing w:before="10"/>
        <w:jc w:val="both"/>
        <w:rPr>
          <w:rFonts w:cs="Calibri"/>
          <w:sz w:val="21"/>
          <w:szCs w:val="21"/>
        </w:rPr>
      </w:pPr>
    </w:p>
    <w:p w:rsidR="00110168" w:rsidRDefault="00110168" w:rsidP="00110168">
      <w:pPr>
        <w:pStyle w:val="Heading2"/>
        <w:ind w:right="162"/>
        <w:jc w:val="both"/>
      </w:pPr>
    </w:p>
    <w:p w:rsidR="00110168" w:rsidRDefault="00110168" w:rsidP="00110168">
      <w:pPr>
        <w:pStyle w:val="Heading2"/>
        <w:ind w:right="162"/>
        <w:jc w:val="both"/>
      </w:pPr>
    </w:p>
    <w:p w:rsidR="00110168" w:rsidRDefault="00110168" w:rsidP="00110168">
      <w:pPr>
        <w:pStyle w:val="Heading2"/>
        <w:ind w:right="162"/>
        <w:jc w:val="both"/>
      </w:pPr>
    </w:p>
    <w:p w:rsidR="00110168" w:rsidRDefault="00110168" w:rsidP="00110168">
      <w:pPr>
        <w:pStyle w:val="Heading2"/>
        <w:ind w:right="162"/>
        <w:jc w:val="both"/>
      </w:pPr>
    </w:p>
    <w:p w:rsidR="00110168" w:rsidRDefault="00110168" w:rsidP="00110168">
      <w:pPr>
        <w:pStyle w:val="Heading2"/>
        <w:ind w:right="162"/>
        <w:jc w:val="both"/>
        <w:rPr>
          <w:b w:val="0"/>
          <w:bCs w:val="0"/>
        </w:rPr>
      </w:pPr>
      <w:r>
        <w:lastRenderedPageBreak/>
        <w:t>MECHANICAL</w:t>
      </w:r>
      <w:r>
        <w:rPr>
          <w:spacing w:val="-3"/>
        </w:rPr>
        <w:t xml:space="preserve"> </w:t>
      </w:r>
      <w:r>
        <w:t>SYSTEMS</w:t>
      </w:r>
    </w:p>
    <w:p w:rsidR="00110168" w:rsidRDefault="00110168" w:rsidP="00110168">
      <w:pPr>
        <w:spacing w:before="1"/>
        <w:jc w:val="both"/>
        <w:rPr>
          <w:rFonts w:cs="Calibri"/>
          <w:b/>
          <w:bCs/>
        </w:rPr>
      </w:pPr>
    </w:p>
    <w:p w:rsidR="00110168" w:rsidRDefault="00110168" w:rsidP="00110168">
      <w:pPr>
        <w:pStyle w:val="BodyText"/>
        <w:ind w:right="162"/>
        <w:jc w:val="both"/>
      </w:pPr>
      <w:r>
        <w:rPr>
          <w:u w:val="single" w:color="000000"/>
        </w:rPr>
        <w:t>Stratified Chilled Water Thermal Energy Storage</w:t>
      </w:r>
      <w:r>
        <w:rPr>
          <w:spacing w:val="-17"/>
          <w:u w:val="single" w:color="000000"/>
        </w:rPr>
        <w:t xml:space="preserve"> </w:t>
      </w:r>
      <w:r>
        <w:rPr>
          <w:u w:val="single" w:color="000000"/>
        </w:rPr>
        <w:t>Tank</w:t>
      </w:r>
    </w:p>
    <w:p w:rsidR="00110168" w:rsidRDefault="00110168" w:rsidP="00110168">
      <w:pPr>
        <w:spacing w:before="5"/>
        <w:jc w:val="both"/>
        <w:rPr>
          <w:rFonts w:cs="Calibri"/>
          <w:sz w:val="17"/>
          <w:szCs w:val="17"/>
        </w:rPr>
      </w:pPr>
    </w:p>
    <w:p w:rsidR="00110168" w:rsidRDefault="00110168" w:rsidP="00110168">
      <w:pPr>
        <w:pStyle w:val="BodyText"/>
        <w:spacing w:before="56"/>
        <w:ind w:right="235"/>
        <w:jc w:val="both"/>
      </w:pPr>
      <w:r>
        <w:t>TES increases the chilled water capacity on Centennial Campus without a costly plant expansion. Charging the</w:t>
      </w:r>
      <w:r>
        <w:rPr>
          <w:spacing w:val="-21"/>
        </w:rPr>
        <w:t xml:space="preserve"> </w:t>
      </w:r>
      <w:r>
        <w:t>TES during</w:t>
      </w:r>
      <w:r>
        <w:rPr>
          <w:spacing w:val="-3"/>
        </w:rPr>
        <w:t xml:space="preserve"> </w:t>
      </w:r>
      <w:r>
        <w:t>off</w:t>
      </w:r>
      <w:r>
        <w:rPr>
          <w:spacing w:val="-2"/>
        </w:rPr>
        <w:t xml:space="preserve"> </w:t>
      </w:r>
      <w:r>
        <w:t>peak</w:t>
      </w:r>
      <w:r>
        <w:rPr>
          <w:spacing w:val="-4"/>
        </w:rPr>
        <w:t xml:space="preserve"> </w:t>
      </w:r>
      <w:r>
        <w:t>periods</w:t>
      </w:r>
      <w:r>
        <w:rPr>
          <w:spacing w:val="-5"/>
        </w:rPr>
        <w:t xml:space="preserve"> </w:t>
      </w:r>
      <w:r>
        <w:t>improves</w:t>
      </w:r>
      <w:r>
        <w:rPr>
          <w:spacing w:val="-2"/>
        </w:rPr>
        <w:t xml:space="preserve"> </w:t>
      </w:r>
      <w:r>
        <w:t>utilization</w:t>
      </w:r>
      <w:r>
        <w:rPr>
          <w:spacing w:val="-3"/>
        </w:rPr>
        <w:t xml:space="preserve"> </w:t>
      </w:r>
      <w:r>
        <w:t>of</w:t>
      </w:r>
      <w:r>
        <w:rPr>
          <w:spacing w:val="-2"/>
        </w:rPr>
        <w:t xml:space="preserve"> </w:t>
      </w:r>
      <w:r>
        <w:t>existing</w:t>
      </w:r>
      <w:r>
        <w:rPr>
          <w:spacing w:val="-3"/>
        </w:rPr>
        <w:t xml:space="preserve"> </w:t>
      </w:r>
      <w:r>
        <w:t>chillers,</w:t>
      </w:r>
      <w:r>
        <w:rPr>
          <w:spacing w:val="-3"/>
        </w:rPr>
        <w:t xml:space="preserve"> </w:t>
      </w:r>
      <w:r>
        <w:t>reduces</w:t>
      </w:r>
      <w:r>
        <w:rPr>
          <w:spacing w:val="-2"/>
        </w:rPr>
        <w:t xml:space="preserve"> </w:t>
      </w:r>
      <w:r>
        <w:t>demand</w:t>
      </w:r>
      <w:r>
        <w:rPr>
          <w:spacing w:val="-5"/>
        </w:rPr>
        <w:t xml:space="preserve"> </w:t>
      </w:r>
      <w:r>
        <w:t>on</w:t>
      </w:r>
      <w:r>
        <w:rPr>
          <w:spacing w:val="-3"/>
        </w:rPr>
        <w:t xml:space="preserve"> </w:t>
      </w:r>
      <w:r>
        <w:t>the</w:t>
      </w:r>
      <w:r>
        <w:rPr>
          <w:spacing w:val="-4"/>
        </w:rPr>
        <w:t xml:space="preserve"> </w:t>
      </w:r>
      <w:r>
        <w:t>power</w:t>
      </w:r>
      <w:r>
        <w:rPr>
          <w:spacing w:val="-2"/>
        </w:rPr>
        <w:t xml:space="preserve"> </w:t>
      </w:r>
      <w:r>
        <w:t>grid,</w:t>
      </w:r>
      <w:r>
        <w:rPr>
          <w:spacing w:val="-2"/>
        </w:rPr>
        <w:t xml:space="preserve"> </w:t>
      </w:r>
      <w:r>
        <w:t>and</w:t>
      </w:r>
      <w:r>
        <w:rPr>
          <w:spacing w:val="-4"/>
        </w:rPr>
        <w:t xml:space="preserve"> </w:t>
      </w:r>
      <w:r>
        <w:t>reduces</w:t>
      </w:r>
      <w:r>
        <w:rPr>
          <w:spacing w:val="-1"/>
        </w:rPr>
        <w:t xml:space="preserve"> </w:t>
      </w:r>
      <w:r>
        <w:t>energy cost. Chilled water is then discharged during periods of highest cooling demand. The charge and discharge concept</w:t>
      </w:r>
      <w:r>
        <w:rPr>
          <w:spacing w:val="-31"/>
        </w:rPr>
        <w:t xml:space="preserve"> </w:t>
      </w:r>
      <w:r>
        <w:t>is very similar that of a rechargeable</w:t>
      </w:r>
      <w:r>
        <w:rPr>
          <w:spacing w:val="-14"/>
        </w:rPr>
        <w:t xml:space="preserve"> </w:t>
      </w:r>
      <w:r>
        <w:t>battery.</w:t>
      </w:r>
    </w:p>
    <w:p w:rsidR="00110168" w:rsidRDefault="00110168" w:rsidP="00110168">
      <w:pPr>
        <w:jc w:val="both"/>
        <w:rPr>
          <w:rFonts w:cs="Calibri"/>
        </w:rPr>
      </w:pPr>
    </w:p>
    <w:p w:rsidR="00110168" w:rsidRDefault="00110168" w:rsidP="00110168">
      <w:pPr>
        <w:pStyle w:val="BodyText"/>
        <w:ind w:right="162"/>
        <w:jc w:val="both"/>
      </w:pPr>
      <w:r>
        <w:t>The TES will store 25,000 ton-hrs of cooling when operated at a 12 degree temperature differential (42F-54F) and</w:t>
      </w:r>
      <w:r>
        <w:rPr>
          <w:spacing w:val="-25"/>
        </w:rPr>
        <w:t xml:space="preserve"> </w:t>
      </w:r>
      <w:r>
        <w:t>hold roughly 3.5 million gallons of water. The field erected steel tank per API-650 or AWWA D-100 will charge and</w:t>
      </w:r>
      <w:r>
        <w:rPr>
          <w:spacing w:val="-30"/>
        </w:rPr>
        <w:t xml:space="preserve"> </w:t>
      </w:r>
      <w:r>
        <w:t>discharge through an octagonal piped or radial plate steel diffuser system. A stairway aligned with the tank radius will</w:t>
      </w:r>
      <w:r>
        <w:rPr>
          <w:spacing w:val="-25"/>
        </w:rPr>
        <w:t xml:space="preserve"> </w:t>
      </w:r>
      <w:r>
        <w:t>provide operator access to side-mounted temperature transmitters and roof mounted level transmitters. The</w:t>
      </w:r>
      <w:r>
        <w:rPr>
          <w:spacing w:val="-16"/>
        </w:rPr>
        <w:t xml:space="preserve"> </w:t>
      </w:r>
      <w:r>
        <w:t xml:space="preserve">tank </w:t>
      </w:r>
      <w:r>
        <w:rPr>
          <w:rFonts w:cs="Calibri"/>
        </w:rPr>
        <w:t>manufacturer’s package will also include an insulated metal panel</w:t>
      </w:r>
      <w:r>
        <w:rPr>
          <w:rFonts w:cs="Calibri"/>
          <w:spacing w:val="-6"/>
        </w:rPr>
        <w:t xml:space="preserve"> </w:t>
      </w:r>
      <w:r>
        <w:rPr>
          <w:rFonts w:cs="Calibri"/>
        </w:rPr>
        <w:t>system</w:t>
      </w:r>
      <w:r>
        <w:t>.</w:t>
      </w:r>
    </w:p>
    <w:p w:rsidR="00110168" w:rsidRDefault="00110168" w:rsidP="00110168">
      <w:pPr>
        <w:jc w:val="both"/>
        <w:rPr>
          <w:rFonts w:cs="Calibri"/>
        </w:rPr>
      </w:pPr>
    </w:p>
    <w:p w:rsidR="00110168" w:rsidRDefault="00110168" w:rsidP="00110168">
      <w:pPr>
        <w:pStyle w:val="BodyText"/>
        <w:ind w:right="162"/>
        <w:jc w:val="both"/>
      </w:pPr>
      <w:r>
        <w:t>From a hydraulic perspective the TES will replace the current plant primary to secondary bridge / de-coupler. If</w:t>
      </w:r>
      <w:r>
        <w:rPr>
          <w:spacing w:val="-21"/>
        </w:rPr>
        <w:t xml:space="preserve"> </w:t>
      </w:r>
      <w:r>
        <w:t>the primary loop generates more flow than the secondary is consuming, the excess flow will charge the tank. If</w:t>
      </w:r>
      <w:r>
        <w:rPr>
          <w:spacing w:val="-27"/>
        </w:rPr>
        <w:t xml:space="preserve"> </w:t>
      </w:r>
      <w:r>
        <w:t>the secondary loop is consuming more than the primary is generating then the tank will discharge. Maximum design</w:t>
      </w:r>
      <w:r>
        <w:rPr>
          <w:spacing w:val="-31"/>
        </w:rPr>
        <w:t xml:space="preserve"> </w:t>
      </w:r>
      <w:r>
        <w:t>charge and discharge rate is 12,000 GPM or 6,000 tons at 12 degree temperature</w:t>
      </w:r>
      <w:r>
        <w:rPr>
          <w:spacing w:val="-26"/>
        </w:rPr>
        <w:t xml:space="preserve"> </w:t>
      </w:r>
      <w:r>
        <w:t>differential.</w:t>
      </w:r>
    </w:p>
    <w:p w:rsidR="00110168" w:rsidRDefault="00110168" w:rsidP="00110168">
      <w:pPr>
        <w:spacing w:before="10"/>
        <w:jc w:val="both"/>
        <w:rPr>
          <w:rFonts w:cs="Calibri"/>
          <w:sz w:val="21"/>
          <w:szCs w:val="21"/>
        </w:rPr>
      </w:pPr>
    </w:p>
    <w:p w:rsidR="00110168" w:rsidRDefault="00110168" w:rsidP="00110168">
      <w:pPr>
        <w:pStyle w:val="BodyText"/>
        <w:ind w:right="162"/>
        <w:jc w:val="both"/>
      </w:pPr>
      <w:r>
        <w:rPr>
          <w:u w:val="single" w:color="000000"/>
        </w:rPr>
        <w:t>Controls</w:t>
      </w:r>
    </w:p>
    <w:p w:rsidR="00110168" w:rsidRDefault="00110168" w:rsidP="00110168">
      <w:pPr>
        <w:spacing w:before="5"/>
        <w:jc w:val="both"/>
        <w:rPr>
          <w:rFonts w:cs="Calibri"/>
          <w:sz w:val="17"/>
          <w:szCs w:val="17"/>
        </w:rPr>
      </w:pPr>
    </w:p>
    <w:p w:rsidR="00110168" w:rsidRDefault="00110168" w:rsidP="00110168">
      <w:pPr>
        <w:pStyle w:val="BodyText"/>
        <w:spacing w:before="56"/>
        <w:ind w:right="138"/>
        <w:jc w:val="both"/>
      </w:pPr>
      <w:r>
        <w:t>After the cogeneration project is completed, primary plant controls will universally reside on Honeywell PLC</w:t>
      </w:r>
      <w:r>
        <w:rPr>
          <w:spacing w:val="-24"/>
        </w:rPr>
        <w:t xml:space="preserve"> </w:t>
      </w:r>
      <w:r>
        <w:t>controllers and share a common Iconics graphics platform. This project will incorporate TES field devices and sequencing along</w:t>
      </w:r>
      <w:r>
        <w:rPr>
          <w:spacing w:val="13"/>
        </w:rPr>
        <w:t xml:space="preserve"> </w:t>
      </w:r>
      <w:r>
        <w:t>with guidance provisions for the condensing steam turbine generator (STG) as it pertains to campus power</w:t>
      </w:r>
      <w:r>
        <w:rPr>
          <w:spacing w:val="-1"/>
        </w:rPr>
        <w:t xml:space="preserve"> </w:t>
      </w:r>
      <w:r>
        <w:t>demand reduction. Programming and graphics to monitor and track campus power demand, predict campus chilled water</w:t>
      </w:r>
      <w:r>
        <w:rPr>
          <w:spacing w:val="-29"/>
        </w:rPr>
        <w:t xml:space="preserve"> </w:t>
      </w:r>
      <w:r>
        <w:t>loads,</w:t>
      </w:r>
      <w:r>
        <w:rPr>
          <w:spacing w:val="-1"/>
        </w:rPr>
        <w:t xml:space="preserve"> </w:t>
      </w:r>
      <w:r>
        <w:t>monitor chiller efficiency trends, stage chillers, and stage the STG has been</w:t>
      </w:r>
      <w:r>
        <w:rPr>
          <w:spacing w:val="-21"/>
        </w:rPr>
        <w:t xml:space="preserve"> </w:t>
      </w:r>
      <w:r>
        <w:t>included.</w:t>
      </w:r>
    </w:p>
    <w:p w:rsidR="00110168" w:rsidRDefault="00110168" w:rsidP="00110168">
      <w:pPr>
        <w:jc w:val="both"/>
        <w:rPr>
          <w:rFonts w:cs="Calibri"/>
        </w:rPr>
      </w:pPr>
    </w:p>
    <w:p w:rsidR="00110168" w:rsidRDefault="00110168" w:rsidP="00110168">
      <w:pPr>
        <w:pStyle w:val="Heading2"/>
        <w:ind w:right="162"/>
        <w:jc w:val="both"/>
        <w:rPr>
          <w:b w:val="0"/>
          <w:bCs w:val="0"/>
        </w:rPr>
      </w:pPr>
      <w:r>
        <w:t>ELECTRICAL</w:t>
      </w:r>
      <w:r>
        <w:rPr>
          <w:spacing w:val="-5"/>
        </w:rPr>
        <w:t xml:space="preserve"> </w:t>
      </w:r>
      <w:r>
        <w:t>SYSTEMS</w:t>
      </w:r>
    </w:p>
    <w:p w:rsidR="00110168" w:rsidRDefault="00110168" w:rsidP="00110168">
      <w:pPr>
        <w:spacing w:before="10"/>
        <w:jc w:val="both"/>
        <w:rPr>
          <w:rFonts w:cs="Calibri"/>
          <w:b/>
          <w:bCs/>
          <w:sz w:val="21"/>
          <w:szCs w:val="21"/>
        </w:rPr>
      </w:pPr>
    </w:p>
    <w:p w:rsidR="00110168" w:rsidRDefault="00110168" w:rsidP="00110168">
      <w:pPr>
        <w:pStyle w:val="BodyText"/>
        <w:ind w:right="162"/>
        <w:jc w:val="both"/>
      </w:pPr>
      <w:r>
        <w:t>Pole mounted lighting will be provided in the TES tank area and be controlled by luminaire mounted</w:t>
      </w:r>
      <w:r>
        <w:rPr>
          <w:spacing w:val="-22"/>
        </w:rPr>
        <w:t xml:space="preserve"> </w:t>
      </w:r>
      <w:r>
        <w:t>photocells. Convenience receptacles will also be installed. The TES tank area will also receive raceway in preparation for</w:t>
      </w:r>
      <w:r>
        <w:rPr>
          <w:spacing w:val="-28"/>
        </w:rPr>
        <w:t xml:space="preserve"> </w:t>
      </w:r>
      <w:r>
        <w:t>security camera monitoring.  Lightning protection is also</w:t>
      </w:r>
      <w:r>
        <w:rPr>
          <w:spacing w:val="-12"/>
        </w:rPr>
        <w:t xml:space="preserve"> </w:t>
      </w:r>
      <w:r>
        <w:t>included.</w:t>
      </w:r>
    </w:p>
    <w:p w:rsidR="00110168" w:rsidRDefault="00110168" w:rsidP="00110168">
      <w:pPr>
        <w:pStyle w:val="BodyText"/>
        <w:ind w:right="162"/>
      </w:pP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Default="000044A5">
      <w:pPr>
        <w:rPr>
          <w:rFonts w:cs="Calibri"/>
          <w:bCs/>
          <w:color w:val="000000"/>
        </w:rPr>
      </w:pPr>
    </w:p>
    <w:p w:rsidR="00411A4D" w:rsidRDefault="00411A4D">
      <w:pPr>
        <w:rPr>
          <w:rFonts w:cs="Calibri"/>
          <w:b/>
          <w:bCs/>
          <w:color w:val="000000"/>
          <w:sz w:val="20"/>
          <w:szCs w:val="20"/>
        </w:rPr>
      </w:pPr>
    </w:p>
    <w:p w:rsidR="00533E8F" w:rsidRDefault="00533E8F">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Pr="003601AA" w:rsidRDefault="00110168">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054B75" w:rsidP="000544F5">
    <w:pPr>
      <w:pStyle w:val="Footer"/>
      <w:tabs>
        <w:tab w:val="clear" w:pos="4680"/>
        <w:tab w:val="clear" w:pos="9360"/>
        <w:tab w:val="right" w:pos="10620"/>
      </w:tabs>
    </w:pPr>
    <w:r>
      <w:tab/>
      <w:t xml:space="preserve">Page </w:t>
    </w:r>
    <w:r w:rsidR="007D00F9">
      <w:fldChar w:fldCharType="begin"/>
    </w:r>
    <w:r w:rsidR="007D00F9">
      <w:instrText xml:space="preserve"> PAGE </w:instrText>
    </w:r>
    <w:r w:rsidR="007D00F9">
      <w:fldChar w:fldCharType="separate"/>
    </w:r>
    <w:r w:rsidR="00F34DE5">
      <w:rPr>
        <w:noProof/>
      </w:rPr>
      <w:t>1</w:t>
    </w:r>
    <w:r w:rsidR="007D00F9">
      <w:rPr>
        <w:noProof/>
      </w:rPr>
      <w:fldChar w:fldCharType="end"/>
    </w:r>
    <w:r>
      <w:t xml:space="preserve"> of </w:t>
    </w:r>
    <w:r w:rsidR="00F34DE5">
      <w:fldChar w:fldCharType="begin"/>
    </w:r>
    <w:r w:rsidR="00F34DE5">
      <w:instrText xml:space="preserve"> NUMPAGES  </w:instrText>
    </w:r>
    <w:r w:rsidR="00F34DE5">
      <w:fldChar w:fldCharType="separate"/>
    </w:r>
    <w:r w:rsidR="00F34DE5">
      <w:rPr>
        <w:noProof/>
      </w:rPr>
      <w:t>12</w:t>
    </w:r>
    <w:r w:rsidR="00F34DE5">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768B5"/>
    <w:rsid w:val="00082EF8"/>
    <w:rsid w:val="00092AA0"/>
    <w:rsid w:val="00093591"/>
    <w:rsid w:val="000A60AC"/>
    <w:rsid w:val="000D635D"/>
    <w:rsid w:val="000E2046"/>
    <w:rsid w:val="000F0147"/>
    <w:rsid w:val="0010739B"/>
    <w:rsid w:val="00110168"/>
    <w:rsid w:val="00115C30"/>
    <w:rsid w:val="001178EA"/>
    <w:rsid w:val="00124846"/>
    <w:rsid w:val="00136042"/>
    <w:rsid w:val="0017760E"/>
    <w:rsid w:val="001866E3"/>
    <w:rsid w:val="0018776E"/>
    <w:rsid w:val="00191F44"/>
    <w:rsid w:val="001B3686"/>
    <w:rsid w:val="001B565A"/>
    <w:rsid w:val="001D0580"/>
    <w:rsid w:val="001E1950"/>
    <w:rsid w:val="001E7569"/>
    <w:rsid w:val="001F6F2C"/>
    <w:rsid w:val="0021653F"/>
    <w:rsid w:val="00223AFB"/>
    <w:rsid w:val="002263B0"/>
    <w:rsid w:val="00244597"/>
    <w:rsid w:val="002755B1"/>
    <w:rsid w:val="002836E9"/>
    <w:rsid w:val="00293E7A"/>
    <w:rsid w:val="0029490F"/>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44AB5"/>
    <w:rsid w:val="003503A1"/>
    <w:rsid w:val="003601AA"/>
    <w:rsid w:val="0036123D"/>
    <w:rsid w:val="00390644"/>
    <w:rsid w:val="00392108"/>
    <w:rsid w:val="0039504D"/>
    <w:rsid w:val="003A28F9"/>
    <w:rsid w:val="003A48D7"/>
    <w:rsid w:val="003A7A1B"/>
    <w:rsid w:val="003B7677"/>
    <w:rsid w:val="003C35BB"/>
    <w:rsid w:val="003D31A7"/>
    <w:rsid w:val="003D5105"/>
    <w:rsid w:val="003E13B4"/>
    <w:rsid w:val="003F74F1"/>
    <w:rsid w:val="00401DF7"/>
    <w:rsid w:val="00411A4D"/>
    <w:rsid w:val="004442F7"/>
    <w:rsid w:val="00445ADA"/>
    <w:rsid w:val="00456EBB"/>
    <w:rsid w:val="00465483"/>
    <w:rsid w:val="00474422"/>
    <w:rsid w:val="004844AA"/>
    <w:rsid w:val="004844C5"/>
    <w:rsid w:val="0048609B"/>
    <w:rsid w:val="004B0421"/>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0EC8"/>
    <w:rsid w:val="005913E1"/>
    <w:rsid w:val="0059209A"/>
    <w:rsid w:val="0059695E"/>
    <w:rsid w:val="005A3B13"/>
    <w:rsid w:val="005C702B"/>
    <w:rsid w:val="005D1566"/>
    <w:rsid w:val="005D25A7"/>
    <w:rsid w:val="005D341A"/>
    <w:rsid w:val="005D77BD"/>
    <w:rsid w:val="005D7E65"/>
    <w:rsid w:val="006045AD"/>
    <w:rsid w:val="00610EC4"/>
    <w:rsid w:val="00614424"/>
    <w:rsid w:val="00624E0B"/>
    <w:rsid w:val="0062623E"/>
    <w:rsid w:val="00645A23"/>
    <w:rsid w:val="006609E3"/>
    <w:rsid w:val="006803A6"/>
    <w:rsid w:val="006816DE"/>
    <w:rsid w:val="006A0D42"/>
    <w:rsid w:val="006A3ECA"/>
    <w:rsid w:val="006C4418"/>
    <w:rsid w:val="006F590E"/>
    <w:rsid w:val="00701A6D"/>
    <w:rsid w:val="00705789"/>
    <w:rsid w:val="007107EA"/>
    <w:rsid w:val="00716265"/>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04A95"/>
    <w:rsid w:val="00A11FCF"/>
    <w:rsid w:val="00A1477F"/>
    <w:rsid w:val="00A65BF0"/>
    <w:rsid w:val="00A74E0B"/>
    <w:rsid w:val="00A77077"/>
    <w:rsid w:val="00A86357"/>
    <w:rsid w:val="00A9014B"/>
    <w:rsid w:val="00A95229"/>
    <w:rsid w:val="00AA7742"/>
    <w:rsid w:val="00AB06E2"/>
    <w:rsid w:val="00AB383F"/>
    <w:rsid w:val="00AC3C7E"/>
    <w:rsid w:val="00AC4772"/>
    <w:rsid w:val="00AD1687"/>
    <w:rsid w:val="00AD54C8"/>
    <w:rsid w:val="00AE531C"/>
    <w:rsid w:val="00B15D27"/>
    <w:rsid w:val="00B1642B"/>
    <w:rsid w:val="00B20DC5"/>
    <w:rsid w:val="00B21AA6"/>
    <w:rsid w:val="00B253AA"/>
    <w:rsid w:val="00B25C7B"/>
    <w:rsid w:val="00B33265"/>
    <w:rsid w:val="00B43132"/>
    <w:rsid w:val="00B441BC"/>
    <w:rsid w:val="00B53390"/>
    <w:rsid w:val="00B770C1"/>
    <w:rsid w:val="00B80EAC"/>
    <w:rsid w:val="00BA178B"/>
    <w:rsid w:val="00BB0DEB"/>
    <w:rsid w:val="00BB2F4F"/>
    <w:rsid w:val="00BC37DB"/>
    <w:rsid w:val="00BC538A"/>
    <w:rsid w:val="00BD68C8"/>
    <w:rsid w:val="00BD6D47"/>
    <w:rsid w:val="00BD7673"/>
    <w:rsid w:val="00C013B4"/>
    <w:rsid w:val="00C051C7"/>
    <w:rsid w:val="00C11594"/>
    <w:rsid w:val="00C3203A"/>
    <w:rsid w:val="00C446F6"/>
    <w:rsid w:val="00C46B32"/>
    <w:rsid w:val="00C51E15"/>
    <w:rsid w:val="00C547E0"/>
    <w:rsid w:val="00C71AC1"/>
    <w:rsid w:val="00C769FE"/>
    <w:rsid w:val="00C8154B"/>
    <w:rsid w:val="00CB6686"/>
    <w:rsid w:val="00CC1EBC"/>
    <w:rsid w:val="00CD68C0"/>
    <w:rsid w:val="00CF76D8"/>
    <w:rsid w:val="00D0797C"/>
    <w:rsid w:val="00D15087"/>
    <w:rsid w:val="00D3426F"/>
    <w:rsid w:val="00D50032"/>
    <w:rsid w:val="00D50CEA"/>
    <w:rsid w:val="00D525EE"/>
    <w:rsid w:val="00D54386"/>
    <w:rsid w:val="00D55282"/>
    <w:rsid w:val="00D65F80"/>
    <w:rsid w:val="00D80FF4"/>
    <w:rsid w:val="00D84736"/>
    <w:rsid w:val="00D848A4"/>
    <w:rsid w:val="00DA231E"/>
    <w:rsid w:val="00DB23FD"/>
    <w:rsid w:val="00DD0CF5"/>
    <w:rsid w:val="00DD3856"/>
    <w:rsid w:val="00DE32FF"/>
    <w:rsid w:val="00DE482C"/>
    <w:rsid w:val="00DE6046"/>
    <w:rsid w:val="00E01D8E"/>
    <w:rsid w:val="00E11806"/>
    <w:rsid w:val="00E168BC"/>
    <w:rsid w:val="00E22A1F"/>
    <w:rsid w:val="00E32CC3"/>
    <w:rsid w:val="00E33557"/>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0B2E"/>
    <w:rsid w:val="00F24908"/>
    <w:rsid w:val="00F32C58"/>
    <w:rsid w:val="00F34DE5"/>
    <w:rsid w:val="00F41637"/>
    <w:rsid w:val="00F45065"/>
    <w:rsid w:val="00F45BAF"/>
    <w:rsid w:val="00F50CAE"/>
    <w:rsid w:val="00F57AFB"/>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B401FDA-ED48-4FF5-98C5-743AA27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paragraph" w:styleId="Heading2">
    <w:name w:val="heading 2"/>
    <w:basedOn w:val="Normal"/>
    <w:link w:val="Heading2Char"/>
    <w:uiPriority w:val="1"/>
    <w:qFormat/>
    <w:rsid w:val="00110168"/>
    <w:pPr>
      <w:widowControl w:val="0"/>
      <w:ind w:left="10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1"/>
    <w:rsid w:val="00110168"/>
    <w:rPr>
      <w:rFonts w:cstheme="minorBidi"/>
      <w:b/>
      <w:bCs/>
      <w:sz w:val="22"/>
      <w:szCs w:val="22"/>
    </w:rPr>
  </w:style>
  <w:style w:type="paragraph" w:styleId="BodyText">
    <w:name w:val="Body Text"/>
    <w:basedOn w:val="Normal"/>
    <w:link w:val="BodyTextChar"/>
    <w:uiPriority w:val="1"/>
    <w:qFormat/>
    <w:rsid w:val="00110168"/>
    <w:pPr>
      <w:widowControl w:val="0"/>
      <w:ind w:left="100"/>
    </w:pPr>
    <w:rPr>
      <w:rFonts w:cstheme="minorBidi"/>
    </w:rPr>
  </w:style>
  <w:style w:type="character" w:customStyle="1" w:styleId="BodyTextChar">
    <w:name w:val="Body Text Char"/>
    <w:basedOn w:val="DefaultParagraphFont"/>
    <w:link w:val="BodyText"/>
    <w:uiPriority w:val="1"/>
    <w:rsid w:val="00110168"/>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1CC8-50C4-4F4C-AA14-8EDC77F2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3456</Words>
  <Characters>22501</Characters>
  <Application>Microsoft Office Word</Application>
  <DocSecurity>0</DocSecurity>
  <Lines>562</Lines>
  <Paragraphs>273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2018-04-16T12:12:00Z</cp:lastPrinted>
  <dcterms:created xsi:type="dcterms:W3CDTF">2018-04-18T13:25:00Z</dcterms:created>
  <dcterms:modified xsi:type="dcterms:W3CDTF">2018-04-18T13:25:00Z</dcterms:modified>
</cp:coreProperties>
</file>